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 WG3 Meeting #10</w:t>
      </w:r>
      <w:r>
        <w:rPr>
          <w:rFonts w:hint="eastAsia" w:eastAsia="宋体"/>
          <w:b/>
          <w:sz w:val="24"/>
          <w:lang w:val="en-US" w:eastAsia="zh-CN"/>
        </w:rPr>
        <w:t>8</w:t>
      </w:r>
      <w:r>
        <w:rPr>
          <w:b/>
          <w:sz w:val="24"/>
        </w:rPr>
        <w:t>-e</w:t>
      </w:r>
      <w:r>
        <w:rPr>
          <w:b/>
          <w:i/>
          <w:sz w:val="28"/>
        </w:rPr>
        <w:tab/>
      </w:r>
      <w:r>
        <w:rPr>
          <w:b/>
          <w:i/>
          <w:sz w:val="28"/>
        </w:rPr>
        <w:t>R3-20</w:t>
      </w:r>
      <w:r>
        <w:rPr>
          <w:rFonts w:hint="eastAsia" w:eastAsia="宋体"/>
          <w:b/>
          <w:i/>
          <w:sz w:val="28"/>
          <w:lang w:val="en-US" w:eastAsia="zh-CN"/>
        </w:rPr>
        <w:t>3246</w:t>
      </w:r>
      <w:bookmarkStart w:id="8" w:name="_GoBack"/>
      <w:bookmarkEnd w:id="8"/>
    </w:p>
    <w:p>
      <w:pPr>
        <w:pStyle w:val="82"/>
        <w:outlineLvl w:val="0"/>
        <w:rPr>
          <w:rFonts w:hint="eastAsia" w:eastAsia="宋体"/>
          <w:b/>
          <w:sz w:val="24"/>
          <w:lang w:val="en-US" w:eastAsia="zh-CN"/>
        </w:rPr>
      </w:pPr>
      <w:r>
        <w:rPr>
          <w:rFonts w:hint="eastAsia" w:eastAsia="宋体"/>
          <w:b/>
          <w:sz w:val="24"/>
          <w:lang w:val="en-US" w:eastAsia="zh-CN"/>
        </w:rPr>
        <w:t>1</w:t>
      </w:r>
      <w:r>
        <w:rPr>
          <w:rFonts w:hint="eastAsia"/>
          <w:b/>
          <w:sz w:val="24"/>
          <w:vertAlign w:val="superscript"/>
          <w:lang w:val="en-US" w:eastAsia="zh-CN"/>
        </w:rPr>
        <w:t>st</w:t>
      </w:r>
      <w:r>
        <w:rPr>
          <w:b/>
          <w:sz w:val="24"/>
        </w:rPr>
        <w:t xml:space="preserve"> - </w:t>
      </w:r>
      <w:r>
        <w:rPr>
          <w:rFonts w:hint="eastAsia"/>
          <w:b/>
          <w:sz w:val="24"/>
          <w:lang w:val="en-US" w:eastAsia="zh-CN"/>
        </w:rPr>
        <w:t>11</w:t>
      </w:r>
      <w:r>
        <w:rPr>
          <w:rFonts w:hint="eastAsia" w:eastAsia="宋体"/>
          <w:b/>
          <w:sz w:val="24"/>
          <w:vertAlign w:val="superscript"/>
          <w:lang w:val="en-US" w:eastAsia="zh-CN"/>
        </w:rPr>
        <w:t>th</w:t>
      </w:r>
      <w:r>
        <w:rPr>
          <w:b/>
          <w:sz w:val="24"/>
        </w:rPr>
        <w:t xml:space="preserve"> </w:t>
      </w:r>
      <w:r>
        <w:rPr>
          <w:rFonts w:hint="eastAsia"/>
          <w:b/>
          <w:sz w:val="24"/>
          <w:lang w:val="en-US" w:eastAsia="zh-CN"/>
        </w:rPr>
        <w:t>Jun</w:t>
      </w:r>
      <w:r>
        <w:rPr>
          <w:b/>
          <w:sz w:val="24"/>
        </w:rPr>
        <w:t xml:space="preserve"> 20</w:t>
      </w:r>
      <w:r>
        <w:rPr>
          <w:rFonts w:hint="eastAsia" w:eastAsia="宋体"/>
          <w:b/>
          <w:sz w:val="24"/>
          <w:lang w:val="en-US" w:eastAsia="zh-CN"/>
        </w:rPr>
        <w:t>20</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CR-Form-v12.0</w:t>
            </w:r>
          </w:p>
        </w:tc>
      </w:tr>
      <w:tr>
        <w:tblPrEx>
          <w:tblLayout w:type="fixed"/>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Layout w:type="fixed"/>
        </w:tblPrEx>
        <w:tc>
          <w:tcPr>
            <w:tcW w:w="9641" w:type="dxa"/>
            <w:gridSpan w:val="9"/>
            <w:tcBorders>
              <w:left w:val="single" w:color="auto" w:sz="4" w:space="0"/>
              <w:right w:val="single" w:color="auto" w:sz="4" w:space="0"/>
            </w:tcBorders>
          </w:tcPr>
          <w:p>
            <w:pPr>
              <w:pStyle w:val="82"/>
              <w:spacing w:after="0"/>
              <w:rPr>
                <w:sz w:val="8"/>
                <w:szCs w:val="8"/>
              </w:rPr>
            </w:pPr>
          </w:p>
        </w:tc>
      </w:tr>
      <w:tr>
        <w:tblPrEx>
          <w:tblLayout w:type="fixed"/>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t>36.300</w:t>
            </w:r>
          </w:p>
        </w:tc>
        <w:tc>
          <w:tcPr>
            <w:tcW w:w="709" w:type="dxa"/>
          </w:tcPr>
          <w:p>
            <w:pPr>
              <w:pStyle w:val="82"/>
              <w:spacing w:after="0"/>
              <w:jc w:val="center"/>
            </w:pPr>
            <w:r>
              <w:rPr>
                <w:b/>
                <w:sz w:val="28"/>
              </w:rPr>
              <w:t>CR</w:t>
            </w:r>
          </w:p>
        </w:tc>
        <w:tc>
          <w:tcPr>
            <w:tcW w:w="1276" w:type="dxa"/>
            <w:shd w:val="pct30" w:color="FFFF00" w:fill="auto"/>
          </w:tcPr>
          <w:p>
            <w:pPr>
              <w:pStyle w:val="82"/>
              <w:spacing w:after="0"/>
            </w:pPr>
            <w:r>
              <w:rPr>
                <w:b/>
                <w:sz w:val="28"/>
              </w:rPr>
              <w:fldChar w:fldCharType="begin"/>
            </w:r>
            <w:r>
              <w:rPr>
                <w:b/>
                <w:sz w:val="28"/>
              </w:rPr>
              <w:instrText xml:space="preserve"> DOCPROPERTY  Cr#  \* MERGEFORMAT </w:instrText>
            </w:r>
            <w:r>
              <w:rPr>
                <w:b/>
                <w:sz w:val="28"/>
              </w:rPr>
              <w:fldChar w:fldCharType="separate"/>
            </w:r>
            <w:r>
              <w:rPr>
                <w:b/>
                <w:sz w:val="28"/>
              </w:rPr>
              <w:t>&lt;CR#&gt;</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w:t>
            </w:r>
            <w:r>
              <w:rPr>
                <w:rFonts w:hint="eastAsia" w:eastAsia="宋体"/>
                <w:b/>
                <w:sz w:val="28"/>
                <w:lang w:val="en-US" w:eastAsia="zh-CN"/>
              </w:rPr>
              <w:t>6</w:t>
            </w:r>
            <w:r>
              <w:rPr>
                <w:b/>
                <w:sz w:val="28"/>
              </w:rPr>
              <w:t>.</w:t>
            </w:r>
            <w:r>
              <w:rPr>
                <w:rFonts w:hint="eastAsia" w:eastAsia="宋体"/>
                <w:b/>
                <w:sz w:val="28"/>
                <w:lang w:val="en-US" w:eastAsia="zh-CN"/>
              </w:rPr>
              <w:t>0</w:t>
            </w:r>
            <w:r>
              <w:rPr>
                <w:b/>
                <w:sz w:val="28"/>
              </w:rPr>
              <w:t>.0</w:t>
            </w:r>
          </w:p>
        </w:tc>
        <w:tc>
          <w:tcPr>
            <w:tcW w:w="143" w:type="dxa"/>
            <w:tcBorders>
              <w:right w:val="single" w:color="auto" w:sz="4" w:space="0"/>
            </w:tcBorders>
          </w:tcPr>
          <w:p>
            <w:pPr>
              <w:pStyle w:val="82"/>
              <w:spacing w:after="0"/>
            </w:pPr>
          </w:p>
        </w:tc>
      </w:tr>
      <w:tr>
        <w:tblPrEx>
          <w:tblLayout w:type="fixed"/>
        </w:tblPrEx>
        <w:tc>
          <w:tcPr>
            <w:tcW w:w="9641" w:type="dxa"/>
            <w:gridSpan w:val="9"/>
            <w:tcBorders>
              <w:left w:val="single" w:color="auto" w:sz="4" w:space="0"/>
              <w:right w:val="single" w:color="auto" w:sz="4" w:space="0"/>
            </w:tcBorders>
          </w:tcPr>
          <w:p>
            <w:pPr>
              <w:pStyle w:val="82"/>
              <w:spacing w:after="0"/>
            </w:pPr>
          </w:p>
        </w:tc>
      </w:tr>
      <w:tr>
        <w:tblPrEx>
          <w:tblLayout w:type="fixed"/>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PrEx>
        <w:tc>
          <w:tcPr>
            <w:tcW w:w="9641" w:type="dxa"/>
            <w:gridSpan w:val="9"/>
          </w:tcPr>
          <w:p>
            <w:pPr>
              <w:pStyle w:val="82"/>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PrEx>
        <w:tc>
          <w:tcPr>
            <w:tcW w:w="9640" w:type="dxa"/>
            <w:gridSpan w:val="11"/>
          </w:tcPr>
          <w:p>
            <w:pPr>
              <w:pStyle w:val="82"/>
              <w:spacing w:after="0"/>
              <w:rPr>
                <w:sz w:val="8"/>
                <w:szCs w:val="8"/>
              </w:rPr>
            </w:pPr>
          </w:p>
        </w:tc>
      </w:tr>
      <w:tr>
        <w:tblPrEx>
          <w:tblLayout w:type="fixed"/>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Clarification on network sharing scenario</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w:t>
            </w:r>
          </w:p>
        </w:tc>
      </w:tr>
      <w:tr>
        <w:tblPrEx>
          <w:tblLayout w:type="fixed"/>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blPrEx>
          <w:tblLayout w:type="fixed"/>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NR_newRAT-Core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2020-0</w:t>
            </w:r>
            <w:r>
              <w:rPr>
                <w:rFonts w:hint="eastAsia" w:eastAsia="宋体"/>
                <w:lang w:val="en-US" w:eastAsia="zh-CN"/>
              </w:rPr>
              <w:t>5</w:t>
            </w:r>
            <w:r>
              <w:t>-</w:t>
            </w:r>
            <w:r>
              <w:rPr>
                <w:rFonts w:hint="eastAsia" w:eastAsia="宋体"/>
                <w:lang w:val="en-US" w:eastAsia="zh-CN"/>
              </w:rPr>
              <w:t>22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A</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Rel-1</w:t>
            </w:r>
            <w:r>
              <w:rPr>
                <w:rFonts w:hint="eastAsia" w:eastAsia="宋体"/>
                <w:lang w:val="en-US" w:eastAsia="zh-CN"/>
              </w:rPr>
              <w:t>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1"/>
              <w:jc w:val="both"/>
              <w:rPr>
                <w:rFonts w:hint="default" w:eastAsia="宋体"/>
                <w:sz w:val="21"/>
                <w:szCs w:val="22"/>
                <w:lang w:val="en-US" w:eastAsia="zh-CN" w:bidi="ar-SA"/>
              </w:rPr>
            </w:pPr>
            <w:r>
              <w:rPr>
                <w:rFonts w:hint="eastAsia" w:eastAsia="宋体"/>
                <w:sz w:val="21"/>
                <w:szCs w:val="22"/>
                <w:lang w:val="en-US" w:eastAsia="zh-CN" w:bidi="ar-SA"/>
              </w:rPr>
              <w:t>The clarification for NCGI and Global gNB ID has been solved in RAN3#107bis-e meeting.</w:t>
            </w:r>
          </w:p>
          <w:p>
            <w:pPr>
              <w:pStyle w:val="31"/>
              <w:jc w:val="both"/>
              <w:rPr>
                <w:rFonts w:hint="eastAsia" w:eastAsia="宋体"/>
                <w:sz w:val="21"/>
                <w:szCs w:val="22"/>
                <w:lang w:val="en-US" w:eastAsia="zh-CN" w:bidi="ar-SA"/>
              </w:rPr>
            </w:pPr>
            <w:r>
              <w:rPr>
                <w:rFonts w:hint="eastAsia" w:eastAsia="宋体"/>
                <w:sz w:val="21"/>
                <w:szCs w:val="22"/>
                <w:lang w:val="en-US" w:eastAsia="zh-CN" w:bidi="ar-SA"/>
              </w:rPr>
              <w:t>The same principle applied to EN-DC as well.</w:t>
            </w:r>
          </w:p>
        </w:tc>
      </w:tr>
      <w:tr>
        <w:tblPrEx>
          <w:tblLayout w:type="fixed"/>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Add the t</w:t>
            </w:r>
            <w:r>
              <w:t>he</w:t>
            </w:r>
            <w:r>
              <w:rPr>
                <w:rFonts w:hint="eastAsia" w:eastAsia="宋体"/>
                <w:lang w:val="en-US" w:eastAsia="zh-CN"/>
              </w:rPr>
              <w:t xml:space="preserve"> </w:t>
            </w:r>
            <w:r>
              <w:t>statement</w:t>
            </w:r>
            <w:r>
              <w:rPr>
                <w:rFonts w:hint="eastAsia" w:eastAsia="宋体"/>
                <w:lang w:val="en-US" w:eastAsia="zh-CN"/>
              </w:rPr>
              <w:t xml:space="preserve"> for EN-DC case.</w:t>
            </w:r>
          </w:p>
          <w:p>
            <w:pPr>
              <w:pStyle w:val="82"/>
              <w:spacing w:after="0"/>
              <w:ind w:left="100"/>
              <w:rPr>
                <w:u w:val="single"/>
              </w:rPr>
            </w:pPr>
            <w:r>
              <w:rPr>
                <w:u w:val="single"/>
              </w:rPr>
              <w:t>Impact Analysis:</w:t>
            </w:r>
          </w:p>
          <w:p>
            <w:pPr>
              <w:pStyle w:val="82"/>
              <w:spacing w:after="0"/>
              <w:ind w:left="100"/>
            </w:pPr>
            <w:r>
              <w:t xml:space="preserve">Impact assessment towards the previous version of the specification (same release): </w:t>
            </w:r>
          </w:p>
          <w:p>
            <w:pPr>
              <w:pStyle w:val="82"/>
              <w:spacing w:after="0"/>
              <w:ind w:left="100"/>
            </w:pPr>
            <w:r>
              <w:t>This CR has no impact with the previous version of the specification for implementations following the statement introduced by this CR.</w:t>
            </w:r>
          </w:p>
          <w:p>
            <w:pPr>
              <w:pStyle w:val="82"/>
              <w:spacing w:after="0"/>
              <w:ind w:left="100"/>
            </w:pPr>
          </w:p>
        </w:tc>
      </w:tr>
      <w:tr>
        <w:tblPrEx>
          <w:tblLayout w:type="fixed"/>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 xml:space="preserve">There would be still no common understanding how to identify </w:t>
            </w:r>
            <w:r>
              <w:rPr>
                <w:rFonts w:hint="eastAsia" w:eastAsia="宋体"/>
                <w:lang w:val="en-US" w:eastAsia="zh-CN"/>
              </w:rPr>
              <w:t>en-gNB</w:t>
            </w:r>
            <w:r>
              <w:t xml:space="preserve"> </w:t>
            </w:r>
            <w:r>
              <w:rPr>
                <w:rFonts w:hint="eastAsia" w:eastAsia="宋体"/>
                <w:lang w:val="en-US" w:eastAsia="zh-CN"/>
              </w:rPr>
              <w:t>under the network sharing scenario</w:t>
            </w:r>
            <w:r>
              <w:t>.</w:t>
            </w:r>
          </w:p>
        </w:tc>
      </w:tr>
      <w:tr>
        <w:tblPrEx>
          <w:tblLayout w:type="fixed"/>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t>10.1.7</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Layout w:type="fixed"/>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rPr>
                <w:rFonts w:hint="eastAsia" w:eastAsia="宋体"/>
                <w:lang w:val="en-US" w:eastAsia="zh-CN"/>
              </w:rPr>
            </w:pPr>
            <w:r>
              <w:t>TS 36.300 CR ... Rel-1</w:t>
            </w:r>
            <w:r>
              <w:rPr>
                <w:rFonts w:hint="eastAsia" w:eastAsia="宋体"/>
                <w:lang w:val="en-US" w:eastAsia="zh-CN"/>
              </w:rPr>
              <w:t>5</w:t>
            </w:r>
          </w:p>
        </w:tc>
      </w:tr>
      <w:tr>
        <w:tblPrEx>
          <w:tblLayout w:type="fixed"/>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p>
        </w:tc>
      </w:tr>
      <w:tr>
        <w:tblPrEx>
          <w:tblLayout w:type="fixed"/>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p>
        </w:tc>
      </w:tr>
      <w:tr>
        <w:tblPrEx>
          <w:tblLayout w:type="fixed"/>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Layout w:type="fixed"/>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Layout w:type="fixed"/>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Layout w:type="fixed"/>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85"/>
      </w:pPr>
      <w:bookmarkStart w:id="2" w:name="_Toc367182965"/>
      <w:r>
        <w:t>&lt;&lt;&lt;&lt;&lt;&lt;&lt;&lt;&lt;&lt;&lt;&lt;&lt;&lt;&lt;&lt;&lt;&lt;&lt;&lt; First Change &gt;&gt;&gt;&gt;&gt;&gt;&gt;&gt;&gt;&gt;&gt;&gt;&gt;&gt;&gt;&gt;&gt;&gt;&gt;&gt;</w:t>
      </w:r>
    </w:p>
    <w:bookmarkEnd w:id="2"/>
    <w:p>
      <w:pPr>
        <w:pStyle w:val="4"/>
      </w:pPr>
      <w:bookmarkStart w:id="3" w:name="_Toc20402844"/>
      <w:bookmarkStart w:id="4" w:name="_Toc29344483"/>
      <w:bookmarkStart w:id="5" w:name="_Toc20387902"/>
      <w:bookmarkStart w:id="6" w:name="_Toc29374573"/>
      <w:r>
        <w:t>10.1.7</w:t>
      </w:r>
      <w:r>
        <w:tab/>
      </w:r>
      <w:r>
        <w:t>Radio Access Network Sharing</w:t>
      </w:r>
      <w:bookmarkEnd w:id="3"/>
      <w:bookmarkEnd w:id="4"/>
    </w:p>
    <w:p>
      <w:r>
        <w:t>E-UTRAN shall support radio access network sharing based on support for multi-to-multi relationship between E-UTRAN nodes and EPC nodes (S1-flex).</w:t>
      </w:r>
    </w:p>
    <w:p>
      <w:r>
        <w:t>If the E-UTRAN is shared by multiple operators, the system information broadcasted in each shared cell contains the PLMN-id of each operator (up to 6).</w:t>
      </w:r>
    </w:p>
    <w:p>
      <w:r>
        <w:t>E-UTRA may provide a single tracking area code (TAC) and Cell Identity valid for all the PLMNs sharing the radio access network resources. Alternatively, E-UTRA may provide TACs and Cell Identities valid only for a subset of the PLMNs sharing the radio network resources. With both alternatives, E-UTRA provides only one TAC and one Cell Identity per cell per PLMN.</w:t>
      </w:r>
    </w:p>
    <w:p>
      <w:r>
        <w:t>The UE shall be able to read up to 6 PLMN-ids, to select one of the PLMN-ids at initial attachment and to indicate this PLMN-id to the E-UTRAN in subsequent instances of the Random Access procedures (e.g. as defined in clause 10.1.5). The E-UTRAN shall select an appropriate MME for the PLMN indicated by the UE. Once attached to an MME, the UE shall be able to indicate the allocated MME in subsequent instances of the Random Access procedures. The indication of the allocated MMEC is contained in the temporary UE identity.</w:t>
      </w:r>
    </w:p>
    <w:p>
      <w:r>
        <w:t>Handling of roaming and access restrictions for UE in ECM-CONNECTED shall follow the principles specified in clause 10.4a.</w:t>
      </w:r>
    </w:p>
    <w:p>
      <w:pPr>
        <w:rPr>
          <w:ins w:id="0" w:author="GY" w:date="2020-03-16T15:29:15Z"/>
        </w:rPr>
      </w:pPr>
      <w:bookmarkStart w:id="7" w:name="_Hlk32493277"/>
      <w:r>
        <w:t>Each Cell Identity associated with a subset of PLMNs identifies its serving eNB.</w:t>
      </w:r>
      <w:bookmarkEnd w:id="5"/>
      <w:bookmarkEnd w:id="6"/>
    </w:p>
    <w:bookmarkEnd w:id="7"/>
    <w:p>
      <w:pPr>
        <w:pStyle w:val="57"/>
        <w:overflowPunct w:val="0"/>
        <w:autoSpaceDE w:val="0"/>
        <w:autoSpaceDN w:val="0"/>
        <w:adjustRightInd w:val="0"/>
        <w:ind w:left="0" w:leftChars="0" w:firstLine="0" w:firstLineChars="0"/>
        <w:textAlignment w:val="baseline"/>
        <w:rPr>
          <w:ins w:id="1" w:author="GY" w:date="2020-05-13T10:46:17Z"/>
        </w:rPr>
      </w:pPr>
      <w:ins w:id="2" w:author="GY" w:date="2020-05-13T10:46:17Z">
        <w:r>
          <w:rPr>
            <w:rFonts w:hint="eastAsia" w:eastAsia="宋体"/>
            <w:lang w:val="en-US" w:eastAsia="zh-CN"/>
          </w:rPr>
          <w:t>Note: For EN-DC case, h</w:t>
        </w:r>
      </w:ins>
      <w:ins w:id="3" w:author="GY" w:date="2020-05-13T10:46:17Z">
        <w:r>
          <w:rPr/>
          <w:t xml:space="preserve">ow to manage the scenario where a different PLMN ID </w:t>
        </w:r>
      </w:ins>
      <w:ins w:id="4" w:author="GY" w:date="2020-05-13T10:46:17Z">
        <w:r>
          <w:rPr>
            <w:rFonts w:hint="eastAsia" w:eastAsia="宋体"/>
            <w:lang w:val="en-US" w:eastAsia="zh-CN"/>
          </w:rPr>
          <w:t xml:space="preserve">rather than </w:t>
        </w:r>
      </w:ins>
      <w:ins w:id="5" w:author="GY" w:date="2020-05-13T10:46:17Z">
        <w:r>
          <w:rPr/>
          <w:t>the first PLMN ID within the set of PLMN IDs associated to the NR Cell Identity in SIB1</w:t>
        </w:r>
      </w:ins>
      <w:ins w:id="6" w:author="GY" w:date="2020-05-13T10:46:17Z">
        <w:r>
          <w:rPr>
            <w:rFonts w:hint="eastAsia" w:eastAsia="宋体"/>
            <w:lang w:val="en-US" w:eastAsia="zh-CN"/>
          </w:rPr>
          <w:t xml:space="preserve">, </w:t>
        </w:r>
      </w:ins>
      <w:ins w:id="7" w:author="GY" w:date="2020-05-13T10:46:17Z">
        <w:r>
          <w:rPr/>
          <w:t>has been allocated by the operator for an NCGI</w:t>
        </w:r>
      </w:ins>
      <w:ins w:id="8" w:author="GY" w:date="2020-05-13T10:46:17Z">
        <w:r>
          <w:rPr>
            <w:rFonts w:hint="eastAsia" w:eastAsia="宋体"/>
            <w:lang w:val="en-US" w:eastAsia="zh-CN"/>
          </w:rPr>
          <w:t xml:space="preserve"> of a cell belongs to en-gNB</w:t>
        </w:r>
      </w:ins>
      <w:ins w:id="9" w:author="GY" w:date="2020-05-13T10:46:17Z">
        <w:r>
          <w:rPr/>
          <w:t xml:space="preserve"> is left to OAM and/or implementation.</w:t>
        </w:r>
      </w:ins>
    </w:p>
    <w:p>
      <w:pPr>
        <w:pStyle w:val="85"/>
      </w:pPr>
      <w:r>
        <w:t>&lt;&lt;&lt;&lt;&lt;&lt;&lt;&lt;&lt;&lt;&lt;&lt;&lt;&lt;&lt;&lt;&lt;&lt;&lt;&lt; End of Changes &gt;&gt;&gt;&gt;&gt;&gt;&gt;&gt;&gt;&gt;&gt;&gt;&gt;&gt;&gt;&gt;&gt;&gt;&gt;&gt;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Arial">
    <w:panose1 w:val="020B0604020202020204"/>
    <w:charset w:val="00"/>
    <w:family w:val="roman"/>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Y">
    <w15:presenceInfo w15:providerId="None" w15:userId="G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04E52"/>
    <w:rsid w:val="00145D43"/>
    <w:rsid w:val="0016051B"/>
    <w:rsid w:val="00192C46"/>
    <w:rsid w:val="001A08B3"/>
    <w:rsid w:val="001A7B60"/>
    <w:rsid w:val="001B52F0"/>
    <w:rsid w:val="001B7A65"/>
    <w:rsid w:val="001E41F3"/>
    <w:rsid w:val="002057EE"/>
    <w:rsid w:val="0026004D"/>
    <w:rsid w:val="002640DD"/>
    <w:rsid w:val="00275D12"/>
    <w:rsid w:val="00284FEB"/>
    <w:rsid w:val="002860C4"/>
    <w:rsid w:val="002B148E"/>
    <w:rsid w:val="002B5741"/>
    <w:rsid w:val="002F4C50"/>
    <w:rsid w:val="00301CFD"/>
    <w:rsid w:val="00305409"/>
    <w:rsid w:val="003609EF"/>
    <w:rsid w:val="0036231A"/>
    <w:rsid w:val="00374DD4"/>
    <w:rsid w:val="003E1A36"/>
    <w:rsid w:val="00410371"/>
    <w:rsid w:val="004242F1"/>
    <w:rsid w:val="00465094"/>
    <w:rsid w:val="004B15F8"/>
    <w:rsid w:val="004B5490"/>
    <w:rsid w:val="004B75B7"/>
    <w:rsid w:val="0051580D"/>
    <w:rsid w:val="0054335C"/>
    <w:rsid w:val="00547111"/>
    <w:rsid w:val="00592D74"/>
    <w:rsid w:val="005E2C44"/>
    <w:rsid w:val="005F63F8"/>
    <w:rsid w:val="006124E0"/>
    <w:rsid w:val="00621188"/>
    <w:rsid w:val="006257ED"/>
    <w:rsid w:val="00695808"/>
    <w:rsid w:val="006B46FB"/>
    <w:rsid w:val="006E21FB"/>
    <w:rsid w:val="00730F4B"/>
    <w:rsid w:val="0073276E"/>
    <w:rsid w:val="00792342"/>
    <w:rsid w:val="007977A8"/>
    <w:rsid w:val="007B512A"/>
    <w:rsid w:val="007C2097"/>
    <w:rsid w:val="007D6A07"/>
    <w:rsid w:val="007F7259"/>
    <w:rsid w:val="008040A8"/>
    <w:rsid w:val="008279FA"/>
    <w:rsid w:val="008626E7"/>
    <w:rsid w:val="00870EE7"/>
    <w:rsid w:val="008863B9"/>
    <w:rsid w:val="008A45A6"/>
    <w:rsid w:val="008F686C"/>
    <w:rsid w:val="00904475"/>
    <w:rsid w:val="009148DE"/>
    <w:rsid w:val="00941E30"/>
    <w:rsid w:val="009777D9"/>
    <w:rsid w:val="00991B88"/>
    <w:rsid w:val="009A0106"/>
    <w:rsid w:val="009A5120"/>
    <w:rsid w:val="009A5753"/>
    <w:rsid w:val="009A579D"/>
    <w:rsid w:val="009A7D15"/>
    <w:rsid w:val="009E3297"/>
    <w:rsid w:val="009F6EB5"/>
    <w:rsid w:val="009F734F"/>
    <w:rsid w:val="00A246B6"/>
    <w:rsid w:val="00A47E70"/>
    <w:rsid w:val="00A50CF0"/>
    <w:rsid w:val="00A7671C"/>
    <w:rsid w:val="00AA2CBC"/>
    <w:rsid w:val="00AA3FD9"/>
    <w:rsid w:val="00AC5820"/>
    <w:rsid w:val="00AD1CD8"/>
    <w:rsid w:val="00B01F0F"/>
    <w:rsid w:val="00B258BB"/>
    <w:rsid w:val="00B44F14"/>
    <w:rsid w:val="00B67B97"/>
    <w:rsid w:val="00B74691"/>
    <w:rsid w:val="00B968C8"/>
    <w:rsid w:val="00BA3EC5"/>
    <w:rsid w:val="00BA51D9"/>
    <w:rsid w:val="00BB5DFC"/>
    <w:rsid w:val="00BD279D"/>
    <w:rsid w:val="00BD6BB8"/>
    <w:rsid w:val="00C21C35"/>
    <w:rsid w:val="00C66BA2"/>
    <w:rsid w:val="00C95985"/>
    <w:rsid w:val="00CC5026"/>
    <w:rsid w:val="00CC68D0"/>
    <w:rsid w:val="00D03F9A"/>
    <w:rsid w:val="00D06D51"/>
    <w:rsid w:val="00D24991"/>
    <w:rsid w:val="00D50255"/>
    <w:rsid w:val="00D53D1F"/>
    <w:rsid w:val="00D66520"/>
    <w:rsid w:val="00DE34CF"/>
    <w:rsid w:val="00E13F3D"/>
    <w:rsid w:val="00E34898"/>
    <w:rsid w:val="00EB09B7"/>
    <w:rsid w:val="00EC0665"/>
    <w:rsid w:val="00EC13F6"/>
    <w:rsid w:val="00EE7D7C"/>
    <w:rsid w:val="00F25D98"/>
    <w:rsid w:val="00F26690"/>
    <w:rsid w:val="00F300FB"/>
    <w:rsid w:val="00FB6386"/>
    <w:rsid w:val="00FF72EF"/>
    <w:rsid w:val="05CC44D1"/>
    <w:rsid w:val="17D91BBD"/>
    <w:rsid w:val="188A614A"/>
    <w:rsid w:val="1E5E1862"/>
    <w:rsid w:val="26284712"/>
    <w:rsid w:val="36124C33"/>
    <w:rsid w:val="37E079AD"/>
    <w:rsid w:val="39A65A86"/>
    <w:rsid w:val="3E975F39"/>
    <w:rsid w:val="43820935"/>
    <w:rsid w:val="4CC73427"/>
    <w:rsid w:val="4CE75673"/>
    <w:rsid w:val="644F430D"/>
    <w:rsid w:val="659D456E"/>
    <w:rsid w:val="7AF1106A"/>
    <w:rsid w:val="7C6717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Body Text"/>
    <w:basedOn w:val="1"/>
    <w:qFormat/>
    <w:uiPriority w:val="0"/>
    <w:pPr>
      <w:widowControl w:val="0"/>
      <w:spacing w:after="120"/>
    </w:pPr>
    <w:rPr>
      <w:rFonts w:eastAsia="MS Mincho"/>
      <w:sz w:val="24"/>
      <w:lang w:val="en-US"/>
    </w:rPr>
  </w:style>
  <w:style w:type="paragraph" w:styleId="32">
    <w:name w:val="List Bullet 5"/>
    <w:basedOn w:val="26"/>
    <w:qFormat/>
    <w:uiPriority w:val="0"/>
    <w:pPr>
      <w:ind w:left="1702"/>
    </w:pPr>
  </w:style>
  <w:style w:type="paragraph" w:styleId="33">
    <w:name w:val="toc 8"/>
    <w:basedOn w:val="23"/>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basedOn w:val="1"/>
    <w:link w:val="84"/>
    <w:qFormat/>
    <w:uiPriority w:val="0"/>
    <w:pPr>
      <w:widowControl w:val="0"/>
    </w:pPr>
    <w:rPr>
      <w:rFonts w:ascii="Arial" w:hAnsi="Arial" w:eastAsia="Times New Roman"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9"/>
    <w:qFormat/>
    <w:uiPriority w:val="0"/>
  </w:style>
  <w:style w:type="paragraph" w:customStyle="1" w:styleId="80">
    <w:name w:val="B5"/>
    <w:basedOn w:val="38"/>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Header Char"/>
    <w:link w:val="36"/>
    <w:qFormat/>
    <w:uiPriority w:val="0"/>
    <w:rPr>
      <w:rFonts w:ascii="Arial" w:hAnsi="Arial"/>
      <w:b/>
      <w:sz w:val="18"/>
      <w:lang w:val="en-GB" w:eastAsia="en-US"/>
    </w:rPr>
  </w:style>
  <w:style w:type="paragraph" w:customStyle="1" w:styleId="85">
    <w:name w:val="First Change"/>
    <w:basedOn w:val="1"/>
    <w:qFormat/>
    <w:uiPriority w:val="0"/>
    <w:pPr>
      <w:jc w:val="center"/>
    </w:pPr>
    <w:rPr>
      <w:color w:val="FF0000"/>
    </w:rPr>
  </w:style>
  <w:style w:type="character" w:customStyle="1" w:styleId="86">
    <w:name w:val="Heading 3 Char"/>
    <w:link w:val="4"/>
    <w:qFormat/>
    <w:uiPriority w:val="0"/>
    <w:rPr>
      <w:rFonts w:ascii="Arial" w:hAnsi="Arial"/>
      <w:sz w:val="28"/>
      <w:lang w:val="en-GB" w:eastAsia="en-US"/>
    </w:rPr>
  </w:style>
  <w:style w:type="character" w:customStyle="1" w:styleId="87">
    <w:name w:val="Heading 2 Char"/>
    <w:link w:val="3"/>
    <w:qFormat/>
    <w:uiPriority w:val="0"/>
    <w:rPr>
      <w:rFonts w:ascii="Arial" w:hAnsi="Arial"/>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4C9B4D-4142-4B34-814F-A8110AFDB556}">
  <ds:schemaRefs/>
</ds:datastoreItem>
</file>

<file path=customXml/itemProps3.xml><?xml version="1.0" encoding="utf-8"?>
<ds:datastoreItem xmlns:ds="http://schemas.openxmlformats.org/officeDocument/2006/customXml" ds:itemID="{691469A8-A4FC-4AD6-B49B-0085A49FADE1}">
  <ds:schemaRefs/>
</ds:datastoreItem>
</file>

<file path=customXml/itemProps4.xml><?xml version="1.0" encoding="utf-8"?>
<ds:datastoreItem xmlns:ds="http://schemas.openxmlformats.org/officeDocument/2006/customXml" ds:itemID="{2B5F3EFF-48F8-4650-901F-AE1B4CA553D5}">
  <ds:schemaRefs/>
</ds:datastoreItem>
</file>

<file path=customXml/itemProps5.xml><?xml version="1.0" encoding="utf-8"?>
<ds:datastoreItem xmlns:ds="http://schemas.openxmlformats.org/officeDocument/2006/customXml" ds:itemID="{4F808007-6978-451A-943B-DBDB29619D8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656</Words>
  <Characters>3743</Characters>
  <Lines>31</Lines>
  <Paragraphs>8</Paragraphs>
  <TotalTime>0</TotalTime>
  <ScaleCrop>false</ScaleCrop>
  <LinksUpToDate>false</LinksUpToDate>
  <CharactersWithSpaces>4391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2020-02-14T18:24:00Z</dcterms:created>
  <dc:creator>Michael Sanders, John M Meredith</dc:creator>
  <cp:lastModifiedBy>GY</cp:lastModifiedBy>
  <cp:lastPrinted>2411-12-31T23:00:00Z</cp:lastPrinted>
  <dcterms:modified xsi:type="dcterms:W3CDTF">2020-05-21T06:24:02Z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2052-10.8.2.7027</vt:lpwstr>
  </property>
</Properties>
</file>